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51172"/>
      <w:bookmarkEnd w:id="0"/>
      <w:bookmarkStart w:id="1" w:name="_Hlt449016246"/>
      <w:bookmarkEnd w:id="1"/>
      <w:bookmarkStart w:id="2" w:name="_Hlt450066085"/>
      <w:bookmarkEnd w:id="2"/>
      <w:bookmarkStart w:id="3" w:name="_Hlt448930105"/>
      <w:bookmarkEnd w:id="3"/>
      <w:bookmarkStart w:id="4" w:name="_Hlt450066087"/>
      <w:bookmarkEnd w:id="4"/>
      <w:bookmarkStart w:id="5" w:name="_Hlt450039480"/>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06265</w:t>
      </w:r>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UE RF requirements for NR NTN phase3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7.31.3.1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Non-Terrestrial Networks (NTN) for NR Phase 3</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from RedCap</w:t>
      </w:r>
      <w:r>
        <w:rPr>
          <w:rFonts w:hint="eastAsia"/>
          <w:i w:val="0"/>
          <w:iCs w:val="0"/>
          <w:sz w:val="20"/>
          <w:szCs w:val="20"/>
          <w:lang w:val="en-US" w:eastAsia="zh-CN"/>
        </w:rPr>
        <w:t xml:space="preserve"> UE RF</w:t>
      </w:r>
      <w:r>
        <w:rPr>
          <w:rFonts w:hint="default"/>
          <w:i w:val="0"/>
          <w:iCs w:val="0"/>
          <w:sz w:val="20"/>
          <w:szCs w:val="20"/>
          <w:lang w:val="en-US" w:eastAsia="zh-CN"/>
        </w:rPr>
        <w:t xml:space="preserve"> perspective.</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0"/>
              </w:numPr>
              <w:overflowPunct w:val="0"/>
              <w:autoSpaceDE w:val="0"/>
              <w:autoSpaceDN w:val="0"/>
              <w:adjustRightInd w:val="0"/>
              <w:spacing w:after="0" w:line="276" w:lineRule="auto"/>
              <w:ind w:leftChars="0"/>
              <w:textAlignment w:val="baseline"/>
              <w:rPr>
                <w:rFonts w:eastAsia="Malgun Gothic"/>
                <w:sz w:val="20"/>
                <w:szCs w:val="20"/>
                <w:lang w:val="en-US" w:eastAsia="ko-KR"/>
              </w:rPr>
            </w:pPr>
            <w:r>
              <w:rPr>
                <w:rFonts w:eastAsia="Malgun Gothic"/>
                <w:sz w:val="20"/>
                <w:szCs w:val="20"/>
                <w:lang w:val="en-US" w:eastAsia="ko-KR"/>
              </w:rPr>
              <w:t>Support of Rel-17 RedCap and Rel-18 eRedCap UEs with NR NTN operating in FR1-NTN bands [RAN4, RAN1]</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full-duplex FDD RedCap and eRedCap UEs,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HD-FDD RedCap UEs and eRedCap UEs, check whether any essential changes are needed for their support (i.e. focusing on HD collision rules) by end of Q2/2024 [RAN1]</w:t>
            </w:r>
          </w:p>
          <w:p>
            <w:pPr>
              <w:pStyle w:val="34"/>
              <w:widowControl w:val="0"/>
              <w:numPr>
                <w:ilvl w:val="1"/>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Depending on feasibility assessment above,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Notes for this objective:</w:t>
            </w:r>
          </w:p>
          <w:p>
            <w:pPr>
              <w:pStyle w:val="34"/>
              <w:widowControl w:val="0"/>
              <w:numPr>
                <w:ilvl w:val="1"/>
                <w:numId w:val="8"/>
              </w:numPr>
              <w:overflowPunct w:val="0"/>
              <w:autoSpaceDE w:val="0"/>
              <w:autoSpaceDN w:val="0"/>
              <w:adjustRightInd w:val="0"/>
              <w:spacing w:after="0"/>
              <w:jc w:val="both"/>
              <w:textAlignment w:val="baseline"/>
              <w:rPr>
                <w:rFonts w:hint="default" w:eastAsia="宋体"/>
                <w:i w:val="0"/>
                <w:iCs w:val="0"/>
                <w:sz w:val="20"/>
                <w:szCs w:val="20"/>
                <w:vertAlign w:val="baseline"/>
                <w:lang w:val="en-US" w:eastAsia="zh-CN"/>
              </w:rPr>
            </w:pPr>
            <w:r>
              <w:rPr>
                <w:rFonts w:ascii="Times New Roman" w:hAnsi="Times New Roman"/>
                <w:sz w:val="20"/>
                <w:szCs w:val="20"/>
              </w:rPr>
              <w:t>GNSS (Global Navigation Satellite Systems) capabilities and simultaneous GNSS and NR-NTN operation is supported in RedCap/eRedCap UE.</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default"/>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Output power enhancement for NR NTN PC3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
              <w:numPr>
                <w:ilvl w:val="1"/>
                <w:numId w:val="0"/>
              </w:numPr>
              <w:overflowPunct w:val="0"/>
              <w:autoSpaceDE w:val="0"/>
              <w:autoSpaceDN w:val="0"/>
              <w:adjustRightInd w:val="0"/>
              <w:ind w:leftChars="0" w:right="0" w:rightChars="0"/>
              <w:textAlignment w:val="baseline"/>
              <w:rPr>
                <w:sz w:val="20"/>
                <w:szCs w:val="20"/>
              </w:rPr>
            </w:pPr>
            <w:r>
              <w:rPr>
                <w:sz w:val="20"/>
                <w:szCs w:val="20"/>
              </w:rPr>
              <w:t xml:space="preserve">Issue 1-1: Output power enhancement for NR NTN PC3 </w:t>
            </w:r>
          </w:p>
          <w:p>
            <w:pPr>
              <w:overflowPunct/>
              <w:autoSpaceDE/>
              <w:autoSpaceDN/>
              <w:adjustRightInd/>
              <w:spacing w:after="120"/>
              <w:textAlignment w:val="auto"/>
              <w:rPr>
                <w:sz w:val="20"/>
                <w:szCs w:val="20"/>
                <w:lang w:eastAsia="zh-CN"/>
              </w:rPr>
            </w:pPr>
            <w:r>
              <w:rPr>
                <w:b/>
                <w:sz w:val="20"/>
                <w:szCs w:val="20"/>
                <w:lang w:eastAsia="zh-CN"/>
              </w:rPr>
              <w:t>Agreements</w:t>
            </w:r>
            <w:r>
              <w:rPr>
                <w:sz w:val="20"/>
                <w:szCs w:val="20"/>
                <w:lang w:eastAsia="zh-CN"/>
              </w:rPr>
              <w:t xml:space="preserve">: </w:t>
            </w:r>
          </w:p>
          <w:p>
            <w:pPr>
              <w:pStyle w:val="34"/>
              <w:numPr>
                <w:ilvl w:val="0"/>
                <w:numId w:val="9"/>
              </w:numPr>
              <w:overflowPunct/>
              <w:autoSpaceDE/>
              <w:autoSpaceDN/>
              <w:adjustRightInd/>
              <w:spacing w:after="160" w:line="278" w:lineRule="auto"/>
              <w:ind w:firstLineChars="0"/>
              <w:contextualSpacing/>
              <w:textAlignment w:val="auto"/>
              <w:rPr>
                <w:sz w:val="20"/>
                <w:szCs w:val="20"/>
              </w:rPr>
            </w:pPr>
            <w:r>
              <w:rPr>
                <w:sz w:val="20"/>
                <w:szCs w:val="20"/>
              </w:rPr>
              <w:t>If defined, additional output power enhancement will be o</w:t>
            </w:r>
            <w:r>
              <w:rPr>
                <w:rFonts w:eastAsiaTheme="minorEastAsia"/>
                <w:sz w:val="20"/>
                <w:szCs w:val="20"/>
              </w:rPr>
              <w:t>ptional for UE to support.</w:t>
            </w:r>
          </w:p>
          <w:p>
            <w:pPr>
              <w:pStyle w:val="34"/>
              <w:numPr>
                <w:ilvl w:val="1"/>
                <w:numId w:val="9"/>
              </w:numPr>
              <w:overflowPunct/>
              <w:autoSpaceDE/>
              <w:autoSpaceDN/>
              <w:adjustRightInd/>
              <w:spacing w:after="160" w:line="278" w:lineRule="auto"/>
              <w:ind w:firstLineChars="0"/>
              <w:contextualSpacing/>
              <w:textAlignment w:val="auto"/>
              <w:rPr>
                <w:sz w:val="20"/>
                <w:szCs w:val="20"/>
              </w:rPr>
            </w:pPr>
            <w:r>
              <w:rPr>
                <w:sz w:val="20"/>
                <w:szCs w:val="20"/>
              </w:rPr>
              <w:t xml:space="preserve">FFS on need of new </w:t>
            </w:r>
            <w:r>
              <w:rPr>
                <w:rFonts w:eastAsiaTheme="minorEastAsia"/>
                <w:sz w:val="20"/>
                <w:szCs w:val="20"/>
              </w:rPr>
              <w:t>UE capability</w:t>
            </w:r>
          </w:p>
          <w:p>
            <w:pPr>
              <w:pStyle w:val="34"/>
              <w:numPr>
                <w:ilvl w:val="0"/>
                <w:numId w:val="9"/>
              </w:numPr>
              <w:overflowPunct/>
              <w:autoSpaceDE/>
              <w:autoSpaceDN/>
              <w:adjustRightInd/>
              <w:spacing w:after="160" w:line="278" w:lineRule="auto"/>
              <w:ind w:firstLineChars="0"/>
              <w:contextualSpacing/>
              <w:textAlignment w:val="auto"/>
              <w:rPr>
                <w:sz w:val="20"/>
                <w:szCs w:val="20"/>
              </w:rPr>
            </w:pPr>
            <w:r>
              <w:rPr>
                <w:sz w:val="20"/>
                <w:szCs w:val="20"/>
              </w:rPr>
              <w:t>Evaluate potential to further enhance output power for RAN4#115:</w:t>
            </w:r>
          </w:p>
          <w:p>
            <w:pPr>
              <w:pStyle w:val="34"/>
              <w:numPr>
                <w:ilvl w:val="1"/>
                <w:numId w:val="9"/>
              </w:numPr>
              <w:overflowPunct/>
              <w:autoSpaceDE/>
              <w:autoSpaceDN/>
              <w:adjustRightInd/>
              <w:spacing w:after="160" w:line="278" w:lineRule="auto"/>
              <w:ind w:firstLineChars="0"/>
              <w:contextualSpacing/>
              <w:textAlignment w:val="auto"/>
              <w:rPr>
                <w:sz w:val="20"/>
                <w:szCs w:val="20"/>
              </w:rPr>
            </w:pPr>
            <w:r>
              <w:rPr>
                <w:sz w:val="20"/>
                <w:szCs w:val="20"/>
              </w:rPr>
              <w:t>Amount of output power enhancement [0.5 to 1 dB]</w:t>
            </w:r>
          </w:p>
          <w:p>
            <w:pPr>
              <w:pStyle w:val="34"/>
              <w:numPr>
                <w:ilvl w:val="2"/>
                <w:numId w:val="9"/>
              </w:numPr>
              <w:overflowPunct/>
              <w:autoSpaceDE/>
              <w:autoSpaceDN/>
              <w:adjustRightInd/>
              <w:spacing w:after="160" w:line="278" w:lineRule="auto"/>
              <w:ind w:firstLineChars="0"/>
              <w:contextualSpacing/>
              <w:textAlignment w:val="auto"/>
              <w:rPr>
                <w:sz w:val="20"/>
                <w:szCs w:val="20"/>
              </w:rPr>
            </w:pPr>
            <w:r>
              <w:rPr>
                <w:sz w:val="20"/>
                <w:szCs w:val="20"/>
              </w:rPr>
              <w:t>Less than 0.5 dB improvement is not specified</w:t>
            </w:r>
          </w:p>
          <w:p>
            <w:pPr>
              <w:pStyle w:val="34"/>
              <w:numPr>
                <w:ilvl w:val="1"/>
                <w:numId w:val="9"/>
              </w:numPr>
              <w:overflowPunct/>
              <w:autoSpaceDE/>
              <w:autoSpaceDN/>
              <w:adjustRightInd/>
              <w:spacing w:after="160" w:line="278" w:lineRule="auto"/>
              <w:ind w:firstLineChars="0"/>
              <w:contextualSpacing/>
              <w:textAlignment w:val="auto"/>
              <w:rPr>
                <w:sz w:val="20"/>
                <w:szCs w:val="20"/>
              </w:rPr>
            </w:pPr>
            <w:r>
              <w:rPr>
                <w:rFonts w:eastAsiaTheme="minorEastAsia"/>
                <w:sz w:val="20"/>
                <w:szCs w:val="20"/>
              </w:rPr>
              <w:t xml:space="preserve">Initially </w:t>
            </w:r>
            <w:r>
              <w:rPr>
                <w:sz w:val="20"/>
                <w:szCs w:val="20"/>
              </w:rPr>
              <w:t>consider</w:t>
            </w:r>
            <w:r>
              <w:rPr>
                <w:rFonts w:eastAsiaTheme="minorEastAsia"/>
                <w:sz w:val="20"/>
                <w:szCs w:val="20"/>
              </w:rPr>
              <w:t xml:space="preserve"> all RB allocations and modulation orders</w:t>
            </w:r>
          </w:p>
          <w:p>
            <w:pPr>
              <w:pStyle w:val="34"/>
              <w:numPr>
                <w:ilvl w:val="2"/>
                <w:numId w:val="9"/>
              </w:numPr>
              <w:overflowPunct/>
              <w:autoSpaceDE/>
              <w:autoSpaceDN/>
              <w:adjustRightInd/>
              <w:spacing w:after="160" w:line="278" w:lineRule="auto"/>
              <w:ind w:firstLineChars="0"/>
              <w:contextualSpacing/>
              <w:textAlignment w:val="auto"/>
              <w:rPr>
                <w:sz w:val="20"/>
                <w:szCs w:val="20"/>
              </w:rPr>
            </w:pPr>
            <w:r>
              <w:rPr>
                <w:sz w:val="20"/>
                <w:szCs w:val="20"/>
              </w:rPr>
              <w:t xml:space="preserve">Consider both </w:t>
            </w:r>
            <w:r>
              <w:rPr>
                <w:rFonts w:eastAsiaTheme="minorEastAsia"/>
                <w:sz w:val="20"/>
                <w:szCs w:val="20"/>
              </w:rPr>
              <w:t xml:space="preserve">MPR reduction </w:t>
            </w:r>
            <w:r>
              <w:rPr>
                <w:sz w:val="20"/>
                <w:szCs w:val="20"/>
              </w:rPr>
              <w:t>and</w:t>
            </w:r>
            <w:r>
              <w:rPr>
                <w:rFonts w:eastAsiaTheme="minorEastAsia"/>
                <w:sz w:val="20"/>
                <w:szCs w:val="20"/>
              </w:rPr>
              <w:t xml:space="preserve"> MOP increase</w:t>
            </w:r>
          </w:p>
          <w:p>
            <w:pPr>
              <w:pStyle w:val="34"/>
              <w:numPr>
                <w:ilvl w:val="3"/>
                <w:numId w:val="9"/>
              </w:numPr>
              <w:overflowPunct/>
              <w:autoSpaceDE/>
              <w:autoSpaceDN/>
              <w:adjustRightInd/>
              <w:spacing w:after="160" w:line="278" w:lineRule="auto"/>
              <w:ind w:firstLineChars="0"/>
              <w:contextualSpacing/>
              <w:textAlignment w:val="auto"/>
              <w:rPr>
                <w:sz w:val="20"/>
                <w:szCs w:val="20"/>
              </w:rPr>
            </w:pPr>
            <w:r>
              <w:rPr>
                <w:sz w:val="20"/>
                <w:szCs w:val="20"/>
              </w:rPr>
              <w:t>FFS how to capture MOP increase in the specification</w:t>
            </w:r>
          </w:p>
          <w:p>
            <w:pPr>
              <w:pStyle w:val="34"/>
              <w:numPr>
                <w:ilvl w:val="2"/>
                <w:numId w:val="9"/>
              </w:numPr>
              <w:overflowPunct/>
              <w:autoSpaceDE/>
              <w:autoSpaceDN/>
              <w:adjustRightInd/>
              <w:spacing w:after="160" w:line="278" w:lineRule="auto"/>
              <w:ind w:firstLineChars="0"/>
              <w:contextualSpacing/>
              <w:textAlignment w:val="auto"/>
              <w:rPr>
                <w:sz w:val="20"/>
                <w:szCs w:val="20"/>
              </w:rPr>
            </w:pPr>
            <w:r>
              <w:rPr>
                <w:rFonts w:eastAsiaTheme="minorEastAsia"/>
                <w:sz w:val="20"/>
                <w:szCs w:val="20"/>
              </w:rPr>
              <w:t xml:space="preserve">Choice </w:t>
            </w:r>
            <w:r>
              <w:rPr>
                <w:sz w:val="20"/>
                <w:szCs w:val="20"/>
              </w:rPr>
              <w:t>between MPR reduction and MOP increase can be different for inner/outer allocations and modulation orders</w:t>
            </w:r>
          </w:p>
          <w:p>
            <w:pPr>
              <w:pStyle w:val="34"/>
              <w:numPr>
                <w:ilvl w:val="1"/>
                <w:numId w:val="9"/>
              </w:numPr>
              <w:overflowPunct/>
              <w:autoSpaceDE/>
              <w:autoSpaceDN/>
              <w:adjustRightInd/>
              <w:spacing w:after="160" w:line="278" w:lineRule="auto"/>
              <w:ind w:firstLineChars="0"/>
              <w:contextualSpacing/>
              <w:textAlignment w:val="auto"/>
              <w:rPr>
                <w:sz w:val="20"/>
                <w:szCs w:val="20"/>
              </w:rPr>
            </w:pPr>
            <w:r>
              <w:rPr>
                <w:rFonts w:eastAsiaTheme="minorEastAsia"/>
                <w:sz w:val="20"/>
                <w:szCs w:val="20"/>
              </w:rPr>
              <w:t>Evaluate both HD-FDD and FD-FDD</w:t>
            </w:r>
          </w:p>
          <w:p>
            <w:pPr>
              <w:pStyle w:val="34"/>
              <w:numPr>
                <w:ilvl w:val="2"/>
                <w:numId w:val="9"/>
              </w:numPr>
              <w:overflowPunct/>
              <w:autoSpaceDE/>
              <w:autoSpaceDN/>
              <w:adjustRightInd/>
              <w:spacing w:after="160" w:line="278" w:lineRule="auto"/>
              <w:ind w:firstLineChars="0"/>
              <w:contextualSpacing/>
              <w:textAlignment w:val="auto"/>
              <w:rPr>
                <w:sz w:val="20"/>
                <w:szCs w:val="20"/>
              </w:rPr>
            </w:pPr>
            <w:r>
              <w:rPr>
                <w:sz w:val="20"/>
                <w:szCs w:val="20"/>
              </w:rPr>
              <w:t>Consider at least insertion loss impact</w:t>
            </w:r>
          </w:p>
          <w:p>
            <w:pPr>
              <w:pStyle w:val="34"/>
              <w:numPr>
                <w:ilvl w:val="2"/>
                <w:numId w:val="9"/>
              </w:numPr>
              <w:overflowPunct/>
              <w:autoSpaceDE/>
              <w:autoSpaceDN/>
              <w:adjustRightInd/>
              <w:spacing w:after="160" w:line="278" w:lineRule="auto"/>
              <w:ind w:firstLineChars="0"/>
              <w:contextualSpacing/>
              <w:textAlignment w:val="auto"/>
              <w:rPr>
                <w:strike/>
                <w:sz w:val="20"/>
                <w:szCs w:val="20"/>
              </w:rPr>
            </w:pPr>
            <w:r>
              <w:rPr>
                <w:sz w:val="20"/>
                <w:szCs w:val="20"/>
              </w:rPr>
              <w:t xml:space="preserve">FFS whether to apply same enhancement to both HD-FDD and FD-FDD </w:t>
            </w:r>
          </w:p>
          <w:p>
            <w:pPr>
              <w:pStyle w:val="34"/>
              <w:numPr>
                <w:ilvl w:val="1"/>
                <w:numId w:val="9"/>
              </w:numPr>
              <w:overflowPunct/>
              <w:autoSpaceDE/>
              <w:autoSpaceDN/>
              <w:adjustRightInd/>
              <w:spacing w:after="160" w:line="278" w:lineRule="auto"/>
              <w:ind w:firstLineChars="0"/>
              <w:contextualSpacing/>
              <w:textAlignment w:val="auto"/>
              <w:rPr>
                <w:sz w:val="20"/>
                <w:szCs w:val="20"/>
              </w:rPr>
            </w:pPr>
            <w:r>
              <w:rPr>
                <w:sz w:val="20"/>
                <w:szCs w:val="20"/>
              </w:rPr>
              <w:t>Evaluate the option to support both rel-18 and rel-19 output power enhancement schemes simultaneously</w:t>
            </w:r>
          </w:p>
          <w:p>
            <w:pPr>
              <w:pStyle w:val="34"/>
              <w:numPr>
                <w:ilvl w:val="2"/>
                <w:numId w:val="9"/>
              </w:numPr>
              <w:overflowPunct/>
              <w:autoSpaceDE/>
              <w:autoSpaceDN/>
              <w:adjustRightInd/>
              <w:spacing w:after="160" w:line="278" w:lineRule="auto"/>
              <w:ind w:firstLineChars="0"/>
              <w:contextualSpacing/>
              <w:textAlignment w:val="auto"/>
              <w:rPr>
                <w:sz w:val="20"/>
                <w:szCs w:val="20"/>
              </w:rPr>
            </w:pPr>
            <w:r>
              <w:rPr>
                <w:sz w:val="20"/>
                <w:szCs w:val="20"/>
              </w:rPr>
              <w:t>FFS whether simultaneous support is specified</w:t>
            </w:r>
          </w:p>
          <w:p>
            <w:pPr>
              <w:pStyle w:val="34"/>
              <w:numPr>
                <w:ilvl w:val="2"/>
                <w:numId w:val="9"/>
              </w:numPr>
              <w:overflowPunct/>
              <w:autoSpaceDE/>
              <w:autoSpaceDN/>
              <w:adjustRightInd/>
              <w:spacing w:after="160" w:line="278" w:lineRule="auto"/>
              <w:ind w:firstLineChars="0"/>
              <w:contextualSpacing/>
              <w:textAlignment w:val="auto"/>
              <w:rPr>
                <w:sz w:val="20"/>
                <w:szCs w:val="20"/>
              </w:rPr>
            </w:pPr>
            <w:r>
              <w:rPr>
                <w:sz w:val="20"/>
                <w:szCs w:val="20"/>
              </w:rPr>
              <w:t>Consider whether PC3 or PC2 ACLR requirement should apply</w:t>
            </w:r>
          </w:p>
          <w:p>
            <w:pPr>
              <w:pStyle w:val="34"/>
              <w:numPr>
                <w:ilvl w:val="1"/>
                <w:numId w:val="9"/>
              </w:numPr>
              <w:overflowPunct/>
              <w:autoSpaceDE/>
              <w:autoSpaceDN/>
              <w:adjustRightInd/>
              <w:spacing w:after="160" w:line="278" w:lineRule="auto"/>
              <w:ind w:firstLineChars="0"/>
              <w:contextualSpacing/>
              <w:textAlignment w:val="auto"/>
              <w:rPr>
                <w:sz w:val="20"/>
                <w:szCs w:val="20"/>
              </w:rPr>
            </w:pPr>
            <w:r>
              <w:rPr>
                <w:sz w:val="20"/>
                <w:szCs w:val="20"/>
              </w:rPr>
              <w:t xml:space="preserve">FFS </w:t>
            </w:r>
            <w:r>
              <w:rPr>
                <w:rFonts w:eastAsiaTheme="minorEastAsia"/>
                <w:sz w:val="20"/>
                <w:szCs w:val="20"/>
              </w:rPr>
              <w:t xml:space="preserve">Applicability to </w:t>
            </w:r>
            <w:r>
              <w:rPr>
                <w:sz w:val="20"/>
                <w:szCs w:val="20"/>
              </w:rPr>
              <w:t xml:space="preserve">PC3 </w:t>
            </w:r>
            <w:r>
              <w:rPr>
                <w:rFonts w:eastAsiaTheme="minorEastAsia"/>
                <w:sz w:val="20"/>
                <w:szCs w:val="20"/>
              </w:rPr>
              <w:t>non-RedCap NR NTN</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hint="eastAsia" w:eastAsia="宋体"/>
                <w:kern w:val="2"/>
                <w:sz w:val="20"/>
                <w:szCs w:val="20"/>
                <w:highlight w:val="none"/>
                <w:vertAlign w:val="baseline"/>
                <w:lang w:val="en-US" w:eastAsia="zh-CN"/>
              </w:rPr>
            </w:pPr>
          </w:p>
        </w:tc>
      </w:tr>
    </w:tbl>
    <w:p>
      <w:pPr>
        <w:bidi w:val="0"/>
        <w:rPr>
          <w:sz w:val="20"/>
          <w:szCs w:val="20"/>
        </w:rPr>
      </w:pPr>
      <w:r>
        <w:rPr>
          <w:rFonts w:hint="eastAsia"/>
          <w:sz w:val="20"/>
          <w:szCs w:val="18"/>
          <w:lang w:val="en-US" w:eastAsia="zh-CN"/>
        </w:rPr>
        <w:t>The above is the agreement and way forward we reached in last meeting [2]. Due to lower RF front-end insertion loss,  additional output power enhancement will be introduced as optional feature for (e)RedCap UE. The potential output power enhancement is based on the hardware capability. It is also different from Rel-18 power boosting scheme. Hence, a new UE capability is needed to support additional output power enhancement for (e)RedCap UE.</w:t>
      </w:r>
    </w:p>
    <w:p>
      <w:pPr>
        <w:jc w:val="both"/>
        <w:rPr>
          <w:rFonts w:hint="default"/>
          <w:b/>
          <w:bCs/>
          <w:i w:val="0"/>
          <w:iCs w:val="0"/>
          <w:sz w:val="20"/>
          <w:szCs w:val="20"/>
          <w:lang w:val="en-US" w:eastAsia="zh-CN"/>
        </w:rPr>
      </w:pPr>
      <w:r>
        <w:rPr>
          <w:rFonts w:hint="eastAsia"/>
          <w:b/>
          <w:bCs/>
          <w:i w:val="0"/>
          <w:iCs w:val="0"/>
          <w:sz w:val="20"/>
          <w:szCs w:val="20"/>
          <w:lang w:val="en-US" w:eastAsia="zh-CN"/>
        </w:rPr>
        <w:t>Proposal 1: A new UE capability is needed to support additional output power enhancement for (e)RedCap UE.</w:t>
      </w:r>
    </w:p>
    <w:p>
      <w:pPr>
        <w:jc w:val="both"/>
        <w:rPr>
          <w:rFonts w:hint="eastAsia"/>
          <w:sz w:val="20"/>
          <w:szCs w:val="20"/>
          <w:lang w:val="en-US" w:eastAsia="zh-CN"/>
        </w:rPr>
      </w:pPr>
      <w:r>
        <w:rPr>
          <w:rFonts w:hint="eastAsia"/>
          <w:b w:val="0"/>
          <w:bCs w:val="0"/>
          <w:i w:val="0"/>
          <w:iCs w:val="0"/>
          <w:sz w:val="20"/>
          <w:szCs w:val="20"/>
          <w:lang w:val="en-US" w:eastAsia="zh-CN"/>
        </w:rPr>
        <w:t xml:space="preserve">Regarding Rel-18 and Rel-19 output power enhancement schemes, there are entirely different schemes. Rel-18 power boosting is based on frequency domain spectrum shaping with and without spectrum extension, and only applicable to inner RB allocation. For Rel-19 output power enhancement, it is motivated by hardware capability, and could be applied to all Rb allocations. From our understanding, Rel-18 and Rel-19 output power enhancement schemes could be support </w:t>
      </w:r>
      <w:r>
        <w:rPr>
          <w:sz w:val="20"/>
          <w:szCs w:val="20"/>
        </w:rPr>
        <w:t>simultaneously</w:t>
      </w:r>
      <w:r>
        <w:rPr>
          <w:rFonts w:hint="eastAsia"/>
          <w:sz w:val="20"/>
          <w:szCs w:val="20"/>
          <w:lang w:val="en-US" w:eastAsia="zh-CN"/>
        </w:rPr>
        <w:t>.</w:t>
      </w:r>
    </w:p>
    <w:p>
      <w:pPr>
        <w:jc w:val="both"/>
        <w:rPr>
          <w:rFonts w:hint="eastAsia"/>
          <w:b/>
          <w:bCs/>
          <w:i w:val="0"/>
          <w:iCs w:val="0"/>
          <w:sz w:val="20"/>
          <w:szCs w:val="20"/>
          <w:lang w:val="en-US" w:eastAsia="zh-CN"/>
        </w:rPr>
      </w:pPr>
      <w:r>
        <w:rPr>
          <w:rFonts w:hint="eastAsia"/>
          <w:b/>
          <w:bCs/>
          <w:i w:val="0"/>
          <w:iCs w:val="0"/>
          <w:sz w:val="20"/>
          <w:szCs w:val="20"/>
          <w:lang w:val="en-US" w:eastAsia="zh-CN"/>
        </w:rPr>
        <w:t>Proposal 2: Rel-18 and Rel-19 output power enhancement schemes could be support simultaneously.</w:t>
      </w:r>
    </w:p>
    <w:p>
      <w:pPr>
        <w:jc w:val="both"/>
        <w:rPr>
          <w:rFonts w:hint="eastAsia"/>
          <w:b w:val="0"/>
          <w:bCs w:val="0"/>
          <w:i w:val="0"/>
          <w:iCs w:val="0"/>
          <w:sz w:val="20"/>
          <w:szCs w:val="20"/>
          <w:lang w:val="en-US" w:eastAsia="zh-CN"/>
        </w:rPr>
      </w:pPr>
      <w:r>
        <w:rPr>
          <w:rFonts w:hint="eastAsia"/>
          <w:b w:val="0"/>
          <w:bCs w:val="0"/>
          <w:i w:val="0"/>
          <w:iCs w:val="0"/>
          <w:sz w:val="20"/>
          <w:szCs w:val="20"/>
          <w:lang w:val="en-US" w:eastAsia="zh-CN"/>
        </w:rPr>
        <w:t>In terms of applicable ACLR, we agreed that target power class is PC3 for NTN (e)RedCap UE in RAN4 #110bis meeting. Take Rel-18 power boosting as an example, PC3 ACLR requirement is applied to PC3 UE when Rel-18 power boosting capability is supported. And the following is cited from 38.101-1.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vertAlign w:val="baseline"/>
                <w:lang w:eastAsia="zh-CN"/>
              </w:rPr>
            </w:pPr>
            <w:r>
              <w:rPr>
                <w:lang w:eastAsia="zh-CN"/>
              </w:rPr>
              <w:t xml:space="preserve">When the IE </w:t>
            </w:r>
            <w:r>
              <w:rPr>
                <w:rFonts w:hint="eastAsia"/>
                <w:i/>
                <w:iCs/>
                <w:lang w:eastAsia="zh-CN"/>
              </w:rPr>
              <w:t>powerBoostPi2BPSK-r18</w:t>
            </w:r>
            <w:r>
              <w:rPr>
                <w:lang w:eastAsia="zh-CN"/>
              </w:rPr>
              <w:t xml:space="preserve"> or </w:t>
            </w:r>
            <w:r>
              <w:rPr>
                <w:rFonts w:hint="eastAsia"/>
                <w:i/>
                <w:iCs/>
                <w:lang w:eastAsia="zh-CN"/>
              </w:rPr>
              <w:t>powerBoostQPSK-r18</w:t>
            </w:r>
            <w:r>
              <w:rPr>
                <w:lang w:eastAsia="zh-CN"/>
              </w:rPr>
              <w:t xml:space="preserve"> is set to 1 for a UE supporting the capability of </w:t>
            </w:r>
            <w:r>
              <w:rPr>
                <w:rFonts w:hint="eastAsia"/>
                <w:i/>
                <w:iCs/>
                <w:lang w:eastAsia="zh-CN"/>
              </w:rPr>
              <w:t>powerBoosting-pi2BPSK-QPSK-r18</w:t>
            </w:r>
            <w:r>
              <w:rPr>
                <w:lang w:eastAsia="zh-CN"/>
              </w:rPr>
              <w:t xml:space="preserve"> or capability of </w:t>
            </w:r>
            <w:r>
              <w:rPr>
                <w:rFonts w:hint="eastAsia"/>
                <w:i/>
                <w:iCs/>
                <w:lang w:eastAsia="zh-CN"/>
              </w:rPr>
              <w:t>powerBoosting-pi2BPSK-QPSK-Modified-r18</w:t>
            </w:r>
            <w:r>
              <w:rPr>
                <w:lang w:eastAsia="zh-CN"/>
              </w:rPr>
              <w:t>, for power class 2 UE, the ACLR requirement of PC2 applies. For power class 3 UE, the ACLR requirement of PC3 applies.</w:t>
            </w:r>
          </w:p>
        </w:tc>
      </w:tr>
    </w:tbl>
    <w:p>
      <w:pPr>
        <w:jc w:val="both"/>
        <w:rPr>
          <w:rFonts w:hint="default"/>
          <w:b w:val="0"/>
          <w:bCs w:val="0"/>
          <w:i w:val="0"/>
          <w:iCs w:val="0"/>
          <w:sz w:val="20"/>
          <w:szCs w:val="20"/>
          <w:lang w:val="en-US" w:eastAsia="zh-CN"/>
        </w:rPr>
      </w:pPr>
      <w:r>
        <w:rPr>
          <w:rFonts w:hint="eastAsia"/>
          <w:b w:val="0"/>
          <w:bCs w:val="0"/>
          <w:i w:val="0"/>
          <w:iCs w:val="0"/>
          <w:sz w:val="20"/>
          <w:szCs w:val="20"/>
          <w:lang w:val="en-US" w:eastAsia="zh-CN"/>
        </w:rPr>
        <w:t>For output power enhancement, the out of band emissions of the corresponding power class should be guaranteed. Hence, for NTN PC3 (e)RedCap UE, PC3 ACLR requirement should apply.</w:t>
      </w:r>
    </w:p>
    <w:p>
      <w:pPr>
        <w:jc w:val="both"/>
        <w:rPr>
          <w:rFonts w:hint="default"/>
          <w:b w:val="0"/>
          <w:bCs w:val="0"/>
          <w:i w:val="0"/>
          <w:iCs w:val="0"/>
          <w:sz w:val="20"/>
          <w:szCs w:val="20"/>
          <w:lang w:val="en-US" w:eastAsia="zh-CN"/>
        </w:rPr>
      </w:pPr>
      <w:r>
        <w:rPr>
          <w:rFonts w:hint="eastAsia"/>
          <w:b/>
          <w:bCs/>
          <w:i w:val="0"/>
          <w:iCs w:val="0"/>
          <w:sz w:val="20"/>
          <w:szCs w:val="20"/>
          <w:lang w:val="en-US" w:eastAsia="zh-CN"/>
        </w:rPr>
        <w:t>Proposal 3: For NTN PC3 (e)RedCap UE, PC3 ACLR requirement should apply.</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2.2 Simultaneous operation with NR NTN and GNSS</w:t>
      </w:r>
    </w:p>
    <w:p>
      <w:pPr>
        <w:rPr>
          <w:iCs/>
          <w:lang w:val="sv-SE" w:eastAsia="zh-CN"/>
        </w:rPr>
      </w:pPr>
      <w:r>
        <w:rPr>
          <w:iCs/>
          <w:lang w:val="sv-SE" w:eastAsia="zh-CN"/>
        </w:rPr>
        <w:drawing>
          <wp:inline distT="0" distB="0" distL="0" distR="0">
            <wp:extent cx="6122035" cy="2297430"/>
            <wp:effectExtent l="90805" t="73025" r="96520" b="113665"/>
            <wp:docPr id="340143886"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143886" name="Picture 1" descr="A close-up of a document&#10;&#10;AI-generated content may be incorrect."/>
                    <pic:cNvPicPr>
                      <a:picLocks noChangeAspect="1"/>
                    </pic:cNvPicPr>
                  </pic:nvPicPr>
                  <pic:blipFill>
                    <a:blip r:embed="rId12"/>
                    <a:stretch>
                      <a:fillRect/>
                    </a:stretch>
                  </pic:blipFill>
                  <pic:spPr>
                    <a:xfrm>
                      <a:off x="0" y="0"/>
                      <a:ext cx="6122035" cy="2297430"/>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pPr>
        <w:rPr>
          <w:rFonts w:hint="default" w:eastAsia="宋体"/>
          <w:iCs/>
          <w:sz w:val="20"/>
          <w:szCs w:val="20"/>
          <w:lang w:val="en-US" w:eastAsia="zh-CN"/>
        </w:rPr>
      </w:pPr>
      <w:r>
        <w:rPr>
          <w:rFonts w:hint="eastAsia"/>
          <w:iCs/>
          <w:sz w:val="20"/>
          <w:szCs w:val="20"/>
          <w:lang w:val="en-US" w:eastAsia="zh-CN"/>
        </w:rPr>
        <w:t xml:space="preserve">The above is reply LS from RAN2 to ask feedback on both duration and periodicity of the IDC free time to be applied to IDC TDM or autonomous denial solution. For IDC free time, we can use the value in IE </w:t>
      </w:r>
      <w:r>
        <w:rPr>
          <w:i/>
          <w:sz w:val="20"/>
          <w:szCs w:val="20"/>
        </w:rPr>
        <w:t>GNSS-PositionFixDuration</w:t>
      </w:r>
      <w:r>
        <w:rPr>
          <w:rFonts w:hint="eastAsia"/>
          <w:i/>
          <w:sz w:val="20"/>
          <w:szCs w:val="20"/>
          <w:lang w:val="en-US" w:eastAsia="zh-CN"/>
        </w:rPr>
        <w:t xml:space="preserve"> </w:t>
      </w:r>
      <w:r>
        <w:rPr>
          <w:rFonts w:hint="eastAsia"/>
          <w:iCs/>
          <w:sz w:val="20"/>
          <w:szCs w:val="20"/>
          <w:lang w:val="en-US" w:eastAsia="zh-CN"/>
        </w:rPr>
        <w:t xml:space="preserve">as a basis. IE </w:t>
      </w:r>
      <w:r>
        <w:rPr>
          <w:i/>
          <w:sz w:val="20"/>
          <w:szCs w:val="20"/>
        </w:rPr>
        <w:t>GNSS-PositionFixDuration</w:t>
      </w:r>
      <w:r>
        <w:rPr>
          <w:rFonts w:hint="eastAsia"/>
          <w:iCs/>
          <w:sz w:val="20"/>
          <w:szCs w:val="20"/>
          <w:lang w:val="en-US" w:eastAsia="zh-CN"/>
        </w:rPr>
        <w:t xml:space="preserve"> is introduced in 36.331, and indicates the time duration required for the UE to acquire a GNSS position. The values indicated in IE </w:t>
      </w:r>
      <w:r>
        <w:rPr>
          <w:i/>
          <w:sz w:val="20"/>
          <w:szCs w:val="20"/>
        </w:rPr>
        <w:t>GNSS-PositionFixDuration</w:t>
      </w:r>
      <w:r>
        <w:rPr>
          <w:rFonts w:hint="eastAsia"/>
          <w:i/>
          <w:sz w:val="20"/>
          <w:szCs w:val="20"/>
          <w:lang w:val="en-US" w:eastAsia="zh-CN"/>
        </w:rPr>
        <w:t xml:space="preserve"> </w:t>
      </w:r>
      <w:r>
        <w:rPr>
          <w:rFonts w:hint="eastAsia"/>
          <w:i w:val="0"/>
          <w:iCs/>
          <w:sz w:val="20"/>
          <w:szCs w:val="20"/>
          <w:lang w:val="en-US" w:eastAsia="zh-CN"/>
        </w:rPr>
        <w:t>are from 1 seconds to 31 seconds to accommodate various scenarios. In reality, GNSS receivers need to go through different start modes—cold, warm, and hot—each impacting the time to first fix (TTFF), or the time it takes for the receiver to compute its initial position. Cold start mode</w:t>
      </w:r>
      <w:bookmarkStart w:id="10" w:name="_GoBack"/>
      <w:bookmarkEnd w:id="10"/>
      <w:r>
        <w:rPr>
          <w:rFonts w:hint="eastAsia"/>
          <w:i w:val="0"/>
          <w:iCs/>
          <w:sz w:val="20"/>
          <w:szCs w:val="20"/>
          <w:lang w:val="en-US" w:eastAsia="zh-CN"/>
        </w:rPr>
        <w:t xml:space="preserve"> usually need above 20 seconds, while warm start mode needs about 10-20 seconds. For simultaneous operation with NR NTN and GNSS, we only need to consider hot start mode. Hence, the duration of IDC free time could be less than 10 seconds.</w:t>
      </w:r>
    </w:p>
    <w:p>
      <w:pPr>
        <w:rPr>
          <w:rFonts w:hint="eastAsia"/>
          <w:iCs/>
          <w:sz w:val="20"/>
          <w:szCs w:val="18"/>
          <w:lang w:val="en-US" w:eastAsia="zh-CN"/>
        </w:rPr>
      </w:pPr>
      <w:r>
        <w:rPr>
          <w:rFonts w:hint="eastAsia"/>
          <w:b/>
          <w:bCs/>
          <w:i w:val="0"/>
          <w:iCs w:val="0"/>
          <w:sz w:val="20"/>
          <w:szCs w:val="20"/>
          <w:lang w:val="en-US" w:eastAsia="zh-CN"/>
        </w:rPr>
        <w:t>Proposal 4: The duration of IDC free time could be less than 10 seconds.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ind w:leftChars="0" w:right="0" w:rightChars="0"/>
              <w:textAlignment w:val="baseline"/>
            </w:pPr>
            <w:bookmarkStart w:id="8" w:name="_Toc193474594"/>
            <w:bookmarkStart w:id="9" w:name="_Toc185640911"/>
            <w:r>
              <w:t>–</w:t>
            </w:r>
            <w:r>
              <w:tab/>
            </w:r>
            <w:r>
              <w:rPr>
                <w:i/>
                <w:iCs/>
                <w:snapToGrid w:val="0"/>
              </w:rPr>
              <w:t>GNSS-PositionFixDuration</w:t>
            </w:r>
            <w:bookmarkEnd w:id="8"/>
            <w:bookmarkEnd w:id="9"/>
          </w:p>
          <w:p>
            <w:pPr>
              <w:keepLines/>
              <w:overflowPunct w:val="0"/>
              <w:autoSpaceDE w:val="0"/>
              <w:autoSpaceDN w:val="0"/>
              <w:adjustRightInd w:val="0"/>
              <w:spacing w:after="180"/>
              <w:textAlignment w:val="baseline"/>
            </w:pPr>
            <w:r>
              <w:t xml:space="preserve">The IE </w:t>
            </w:r>
            <w:r>
              <w:rPr>
                <w:i/>
              </w:rPr>
              <w:t>GNSS-PositionFixDuration</w:t>
            </w:r>
            <w:r>
              <w:t xml:space="preserve"> indicates the time duration required for the UE to acquire a GNSS position</w:t>
            </w:r>
            <w:r>
              <w:rPr>
                <w:iCs/>
                <w:lang w:eastAsia="en-GB"/>
              </w:rPr>
              <w:t>. Value s1 corresponds to 1 second, s2 corresponds to 2 seconds and so on.</w:t>
            </w:r>
          </w:p>
          <w:p>
            <w:pPr>
              <w:pStyle w:val="56"/>
              <w:overflowPunct w:val="0"/>
              <w:autoSpaceDE w:val="0"/>
              <w:autoSpaceDN w:val="0"/>
              <w:adjustRightInd w:val="0"/>
              <w:spacing w:after="180"/>
              <w:textAlignment w:val="baseline"/>
            </w:pPr>
            <w:r>
              <w:rPr>
                <w:i/>
                <w:iCs/>
                <w:snapToGrid w:val="0"/>
              </w:rPr>
              <w:t>GNSS-PositionFixDuration</w:t>
            </w:r>
            <w:r>
              <w:rPr>
                <w:snapToGrid w:val="0"/>
              </w:rPr>
              <w:t xml:space="preserve"> </w:t>
            </w:r>
            <w:r>
              <w:t>information element</w:t>
            </w:r>
          </w:p>
          <w:p>
            <w:pPr>
              <w:pStyle w:val="81"/>
              <w:shd w:val="clear" w:color="auto" w:fill="E6E6E6"/>
              <w:spacing w:after="180"/>
            </w:pPr>
            <w:r>
              <w:t>-- ASN1START</w:t>
            </w:r>
          </w:p>
          <w:p>
            <w:pPr>
              <w:pStyle w:val="81"/>
              <w:shd w:val="clear" w:color="auto" w:fill="E6E6E6"/>
              <w:spacing w:after="180"/>
            </w:pPr>
          </w:p>
          <w:p>
            <w:pPr>
              <w:pStyle w:val="81"/>
              <w:shd w:val="clear" w:color="auto" w:fill="E6E6E6"/>
              <w:spacing w:after="180"/>
            </w:pPr>
            <w:r>
              <w:t>GNSS-PositionFixDuration-r18 ::= ENUMERATED{</w:t>
            </w:r>
          </w:p>
          <w:p>
            <w:pPr>
              <w:pStyle w:val="81"/>
              <w:shd w:val="clear" w:color="auto" w:fill="E6E6E6"/>
              <w:spacing w:after="180"/>
            </w:pPr>
            <w:r>
              <w:tab/>
            </w:r>
            <w:r>
              <w:tab/>
            </w:r>
            <w:r>
              <w:tab/>
            </w:r>
            <w:r>
              <w:tab/>
            </w:r>
            <w:r>
              <w:tab/>
            </w:r>
            <w:r>
              <w:tab/>
            </w:r>
            <w:r>
              <w:tab/>
            </w:r>
            <w:r>
              <w:tab/>
            </w:r>
            <w:r>
              <w:t>s1, s2, s3, s4, s5, s6, s7, s13, s19, s25, s31}</w:t>
            </w:r>
          </w:p>
          <w:p>
            <w:pPr>
              <w:pStyle w:val="81"/>
              <w:shd w:val="clear" w:color="auto" w:fill="E6E6E6"/>
              <w:spacing w:after="180"/>
            </w:pPr>
          </w:p>
          <w:p>
            <w:pPr>
              <w:pStyle w:val="81"/>
              <w:shd w:val="clear" w:color="auto" w:fill="E6E6E6"/>
              <w:spacing w:after="180"/>
            </w:pPr>
            <w:r>
              <w:t>-- ASN1STOP</w:t>
            </w:r>
          </w:p>
          <w:p>
            <w:pPr>
              <w:overflowPunct w:val="0"/>
              <w:autoSpaceDE w:val="0"/>
              <w:autoSpaceDN w:val="0"/>
              <w:adjustRightInd w:val="0"/>
              <w:spacing w:after="180"/>
              <w:textAlignment w:val="baseline"/>
              <w:rPr>
                <w:rFonts w:hint="default"/>
                <w:iCs/>
                <w:sz w:val="20"/>
                <w:szCs w:val="18"/>
                <w:vertAlign w:val="baseline"/>
                <w:lang w:val="en-US" w:eastAsia="zh-CN"/>
              </w:rPr>
            </w:pPr>
          </w:p>
        </w:tc>
      </w:tr>
    </w:tbl>
    <w:p>
      <w:pPr>
        <w:rPr>
          <w:rFonts w:hint="default"/>
          <w:iCs/>
          <w:sz w:val="20"/>
          <w:szCs w:val="18"/>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UE RF requirements for NR NTN phase3</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jc w:val="both"/>
        <w:rPr>
          <w:rFonts w:hint="default"/>
          <w:b/>
          <w:bCs/>
          <w:i w:val="0"/>
          <w:iCs w:val="0"/>
          <w:sz w:val="20"/>
          <w:szCs w:val="20"/>
          <w:lang w:val="en-US" w:eastAsia="zh-CN"/>
        </w:rPr>
      </w:pPr>
      <w:r>
        <w:rPr>
          <w:rFonts w:hint="eastAsia"/>
          <w:b/>
          <w:bCs/>
          <w:i w:val="0"/>
          <w:iCs w:val="0"/>
          <w:sz w:val="20"/>
          <w:szCs w:val="20"/>
          <w:lang w:val="en-US" w:eastAsia="zh-CN"/>
        </w:rPr>
        <w:t>Proposal 1: A new UE capability is needed to support additional output power enhancement for (e)RedCap UE.</w:t>
      </w:r>
    </w:p>
    <w:p>
      <w:pPr>
        <w:jc w:val="both"/>
        <w:rPr>
          <w:rFonts w:hint="eastAsia"/>
          <w:b/>
          <w:bCs/>
          <w:i w:val="0"/>
          <w:iCs w:val="0"/>
          <w:sz w:val="20"/>
          <w:szCs w:val="20"/>
          <w:lang w:val="en-US" w:eastAsia="zh-CN"/>
        </w:rPr>
      </w:pPr>
      <w:r>
        <w:rPr>
          <w:rFonts w:hint="eastAsia"/>
          <w:b/>
          <w:bCs/>
          <w:i w:val="0"/>
          <w:iCs w:val="0"/>
          <w:sz w:val="20"/>
          <w:szCs w:val="20"/>
          <w:lang w:val="en-US" w:eastAsia="zh-CN"/>
        </w:rPr>
        <w:t>Proposal 2: Rel-18 and Rel-19 output power enhancement schemes could be support simultaneously.</w:t>
      </w:r>
    </w:p>
    <w:p>
      <w:pPr>
        <w:jc w:val="both"/>
        <w:rPr>
          <w:rFonts w:hint="default"/>
          <w:b w:val="0"/>
          <w:bCs w:val="0"/>
          <w:i w:val="0"/>
          <w:iCs w:val="0"/>
          <w:sz w:val="20"/>
          <w:szCs w:val="20"/>
          <w:lang w:val="en-US" w:eastAsia="zh-CN"/>
        </w:rPr>
      </w:pPr>
      <w:r>
        <w:rPr>
          <w:rFonts w:hint="eastAsia"/>
          <w:b/>
          <w:bCs/>
          <w:i w:val="0"/>
          <w:iCs w:val="0"/>
          <w:sz w:val="20"/>
          <w:szCs w:val="20"/>
          <w:lang w:val="en-US" w:eastAsia="zh-CN"/>
        </w:rPr>
        <w:t>Proposal 3: For NTN PC3 (e)RedCap UE, PC3 ACLR requirement should apply.</w:t>
      </w:r>
    </w:p>
    <w:p>
      <w:pPr>
        <w:rPr>
          <w:rFonts w:hint="eastAsia"/>
          <w:iCs/>
          <w:sz w:val="20"/>
          <w:szCs w:val="18"/>
          <w:lang w:val="en-US" w:eastAsia="zh-CN"/>
        </w:rPr>
      </w:pPr>
      <w:r>
        <w:rPr>
          <w:rFonts w:hint="eastAsia"/>
          <w:b/>
          <w:bCs/>
          <w:i w:val="0"/>
          <w:iCs w:val="0"/>
          <w:sz w:val="20"/>
          <w:szCs w:val="20"/>
          <w:lang w:val="en-US" w:eastAsia="zh-CN"/>
        </w:rPr>
        <w:t>Proposal 4: The duration of IDC free time could be less than 10 seconds.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sz w:val="20"/>
          <w:szCs w:val="20"/>
          <w:lang w:val="en-US" w:eastAsia="zh-CN"/>
        </w:rPr>
        <w:t xml:space="preserve">RP-234078, </w:t>
      </w:r>
      <w:r>
        <w:rPr>
          <w:rFonts w:hint="eastAsia" w:ascii="Times New Roman" w:hAnsi="Times New Roman" w:eastAsia="宋体" w:cs="Times New Roman"/>
          <w:b w:val="0"/>
          <w:bCs w:val="0"/>
          <w:color w:val="auto"/>
          <w:sz w:val="20"/>
          <w:szCs w:val="20"/>
          <w:highlight w:val="none"/>
          <w:lang w:val="en-US" w:eastAsia="zh-CN"/>
        </w:rPr>
        <w:t xml:space="preserve">New </w:t>
      </w:r>
      <w:r>
        <w:rPr>
          <w:rFonts w:hint="eastAsia"/>
          <w:sz w:val="20"/>
          <w:szCs w:val="20"/>
          <w:lang w:val="en-US" w:eastAsia="zh-CN"/>
        </w:rPr>
        <w:t>WID: Non-Terrestrial Networks (NTN) for NR Phase 3, Huawei</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R4-2504708</w:t>
      </w:r>
      <w:r>
        <w:rPr>
          <w:rFonts w:hint="eastAsia" w:cs="Times New Roman"/>
          <w:b w:val="0"/>
          <w:bCs w:val="0"/>
          <w:color w:val="auto"/>
          <w:sz w:val="20"/>
          <w:szCs w:val="20"/>
          <w:highlight w:val="none"/>
          <w:lang w:val="en-US" w:eastAsia="zh-CN"/>
        </w:rPr>
        <w:t>, Way Forward for [114bis][309] NR_NTN_Ph3_General_UE_SAN_RF, Qualcomm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44C2187C"/>
    <w:multiLevelType w:val="multilevel"/>
    <w:tmpl w:val="44C218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strike w:val="0"/>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9"/>
  </w:num>
  <w:num w:numId="3">
    <w:abstractNumId w:val="7"/>
  </w:num>
  <w:num w:numId="4">
    <w:abstractNumId w:val="4"/>
  </w:num>
  <w:num w:numId="5">
    <w:abstractNumId w:val="5"/>
  </w:num>
  <w:num w:numId="6">
    <w:abstractNumId w:val="1"/>
  </w:num>
  <w:num w:numId="7">
    <w:abstractNumId w:val="0"/>
  </w:num>
  <w:num w:numId="8">
    <w:abstractNumId w:val="3"/>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2CBC"/>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6E5697"/>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346E9"/>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3F36E4"/>
    <w:rsid w:val="044C78D8"/>
    <w:rsid w:val="04537B11"/>
    <w:rsid w:val="04557675"/>
    <w:rsid w:val="04684A28"/>
    <w:rsid w:val="046C0EAE"/>
    <w:rsid w:val="046F1CC5"/>
    <w:rsid w:val="04782230"/>
    <w:rsid w:val="0479507E"/>
    <w:rsid w:val="047B05A3"/>
    <w:rsid w:val="04894975"/>
    <w:rsid w:val="04922411"/>
    <w:rsid w:val="0492397B"/>
    <w:rsid w:val="04A65723"/>
    <w:rsid w:val="04B14B03"/>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5F34184"/>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5668B"/>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73A36"/>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0676B"/>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544B0A"/>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77BA6"/>
    <w:rsid w:val="090E2F35"/>
    <w:rsid w:val="091B4FFA"/>
    <w:rsid w:val="092173F4"/>
    <w:rsid w:val="09262DE9"/>
    <w:rsid w:val="092F7300"/>
    <w:rsid w:val="09306537"/>
    <w:rsid w:val="09355076"/>
    <w:rsid w:val="09392119"/>
    <w:rsid w:val="093A736C"/>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07F7F"/>
    <w:rsid w:val="0B0130D7"/>
    <w:rsid w:val="0B0250FD"/>
    <w:rsid w:val="0B0C7017"/>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CD568B"/>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AD07AE"/>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27B32"/>
    <w:rsid w:val="0F0621F6"/>
    <w:rsid w:val="0F103291"/>
    <w:rsid w:val="0F15660A"/>
    <w:rsid w:val="0F1D0EA6"/>
    <w:rsid w:val="0F1D498B"/>
    <w:rsid w:val="0F22242C"/>
    <w:rsid w:val="0F337178"/>
    <w:rsid w:val="0F3B15FC"/>
    <w:rsid w:val="0F3C6326"/>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5D3400"/>
    <w:rsid w:val="1160765D"/>
    <w:rsid w:val="116F1EB0"/>
    <w:rsid w:val="11727495"/>
    <w:rsid w:val="117A242E"/>
    <w:rsid w:val="117B1D6A"/>
    <w:rsid w:val="117C2D9D"/>
    <w:rsid w:val="117F159E"/>
    <w:rsid w:val="11821DC9"/>
    <w:rsid w:val="11824A0F"/>
    <w:rsid w:val="11897A08"/>
    <w:rsid w:val="11921373"/>
    <w:rsid w:val="119A72EE"/>
    <w:rsid w:val="119B63D1"/>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645EB"/>
    <w:rsid w:val="128B2749"/>
    <w:rsid w:val="128E1E81"/>
    <w:rsid w:val="129019B5"/>
    <w:rsid w:val="129811DB"/>
    <w:rsid w:val="129937EE"/>
    <w:rsid w:val="129E6282"/>
    <w:rsid w:val="129F3A3A"/>
    <w:rsid w:val="12AA7237"/>
    <w:rsid w:val="12AB7A32"/>
    <w:rsid w:val="12BB6535"/>
    <w:rsid w:val="12BF2501"/>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B324EF"/>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43909"/>
    <w:rsid w:val="1485665F"/>
    <w:rsid w:val="14934F1A"/>
    <w:rsid w:val="149559C4"/>
    <w:rsid w:val="14994763"/>
    <w:rsid w:val="149D71D6"/>
    <w:rsid w:val="149E3770"/>
    <w:rsid w:val="149F457C"/>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1F47CB"/>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7812BE"/>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0E7235"/>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A02AA6"/>
    <w:rsid w:val="1BB07CEA"/>
    <w:rsid w:val="1BB371BF"/>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21AE"/>
    <w:rsid w:val="1D037029"/>
    <w:rsid w:val="1D0A6B98"/>
    <w:rsid w:val="1D0E0655"/>
    <w:rsid w:val="1D227612"/>
    <w:rsid w:val="1D3305FF"/>
    <w:rsid w:val="1D395282"/>
    <w:rsid w:val="1D4251BA"/>
    <w:rsid w:val="1D5B2FF2"/>
    <w:rsid w:val="1D5F5386"/>
    <w:rsid w:val="1D614BDA"/>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3F5617"/>
    <w:rsid w:val="1E455D19"/>
    <w:rsid w:val="1E595CAF"/>
    <w:rsid w:val="1E5C31E8"/>
    <w:rsid w:val="1E6607F9"/>
    <w:rsid w:val="1E691070"/>
    <w:rsid w:val="1E7E6BFD"/>
    <w:rsid w:val="1E805396"/>
    <w:rsid w:val="1E821B53"/>
    <w:rsid w:val="1E884F62"/>
    <w:rsid w:val="1E8D685D"/>
    <w:rsid w:val="1E984238"/>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70AD8"/>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10B64"/>
    <w:rsid w:val="21B405F8"/>
    <w:rsid w:val="21B5366A"/>
    <w:rsid w:val="21B6640A"/>
    <w:rsid w:val="21C267BF"/>
    <w:rsid w:val="21C67C42"/>
    <w:rsid w:val="21CB6217"/>
    <w:rsid w:val="21CD6BCD"/>
    <w:rsid w:val="21CE6067"/>
    <w:rsid w:val="21CF439A"/>
    <w:rsid w:val="21D824E4"/>
    <w:rsid w:val="21E35D49"/>
    <w:rsid w:val="21F00127"/>
    <w:rsid w:val="21F7745C"/>
    <w:rsid w:val="22035C75"/>
    <w:rsid w:val="221D2FA3"/>
    <w:rsid w:val="22225F3D"/>
    <w:rsid w:val="2226635F"/>
    <w:rsid w:val="222D4F0B"/>
    <w:rsid w:val="223A29CF"/>
    <w:rsid w:val="223D7545"/>
    <w:rsid w:val="22411D14"/>
    <w:rsid w:val="22423BE1"/>
    <w:rsid w:val="22454449"/>
    <w:rsid w:val="22500810"/>
    <w:rsid w:val="22596EC8"/>
    <w:rsid w:val="226347BD"/>
    <w:rsid w:val="22682935"/>
    <w:rsid w:val="226E0A7E"/>
    <w:rsid w:val="226F4201"/>
    <w:rsid w:val="227E0D30"/>
    <w:rsid w:val="227E7CD6"/>
    <w:rsid w:val="228A4698"/>
    <w:rsid w:val="22925971"/>
    <w:rsid w:val="22945167"/>
    <w:rsid w:val="229B0BE2"/>
    <w:rsid w:val="22A55CD5"/>
    <w:rsid w:val="22C04851"/>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8F46A5"/>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456B0"/>
    <w:rsid w:val="24C83F94"/>
    <w:rsid w:val="24C9288E"/>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563DD"/>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943BC"/>
    <w:rsid w:val="286C77D1"/>
    <w:rsid w:val="286E74F1"/>
    <w:rsid w:val="28760CA0"/>
    <w:rsid w:val="287A2167"/>
    <w:rsid w:val="287B218C"/>
    <w:rsid w:val="288A05DD"/>
    <w:rsid w:val="288C7637"/>
    <w:rsid w:val="28937D89"/>
    <w:rsid w:val="289B0550"/>
    <w:rsid w:val="28A044B5"/>
    <w:rsid w:val="28BD3F79"/>
    <w:rsid w:val="28C8606D"/>
    <w:rsid w:val="28C96C14"/>
    <w:rsid w:val="28DC6BC2"/>
    <w:rsid w:val="28DE11F1"/>
    <w:rsid w:val="28E138E3"/>
    <w:rsid w:val="28E74216"/>
    <w:rsid w:val="28E87EE4"/>
    <w:rsid w:val="28EE6451"/>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EF4C36"/>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62151"/>
    <w:rsid w:val="2B5E6C2A"/>
    <w:rsid w:val="2B637D4B"/>
    <w:rsid w:val="2B6B1684"/>
    <w:rsid w:val="2B7B70BF"/>
    <w:rsid w:val="2B853AF3"/>
    <w:rsid w:val="2B8B422C"/>
    <w:rsid w:val="2B950A36"/>
    <w:rsid w:val="2BA07D38"/>
    <w:rsid w:val="2BBC7962"/>
    <w:rsid w:val="2BC40957"/>
    <w:rsid w:val="2BCA5C66"/>
    <w:rsid w:val="2BCB5DAA"/>
    <w:rsid w:val="2BD65380"/>
    <w:rsid w:val="2BD86372"/>
    <w:rsid w:val="2BDA39FD"/>
    <w:rsid w:val="2BE67ADC"/>
    <w:rsid w:val="2BE725D0"/>
    <w:rsid w:val="2BEF631E"/>
    <w:rsid w:val="2BF369B9"/>
    <w:rsid w:val="2BFC0A4A"/>
    <w:rsid w:val="2C094904"/>
    <w:rsid w:val="2C0E55A1"/>
    <w:rsid w:val="2C1172CF"/>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60795"/>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EFF18FA"/>
    <w:rsid w:val="2F00052B"/>
    <w:rsid w:val="2F0367CD"/>
    <w:rsid w:val="2F1251F2"/>
    <w:rsid w:val="2F2B5FBF"/>
    <w:rsid w:val="2F2D445E"/>
    <w:rsid w:val="2F4B20A5"/>
    <w:rsid w:val="2F4F6FBB"/>
    <w:rsid w:val="2F5A00E5"/>
    <w:rsid w:val="2F5B737E"/>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017091"/>
    <w:rsid w:val="301742B2"/>
    <w:rsid w:val="301A1509"/>
    <w:rsid w:val="301A71CE"/>
    <w:rsid w:val="301D63DD"/>
    <w:rsid w:val="301E049B"/>
    <w:rsid w:val="302A4BE6"/>
    <w:rsid w:val="30303A18"/>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72E30"/>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70FA4"/>
    <w:rsid w:val="320901F5"/>
    <w:rsid w:val="320B7CCB"/>
    <w:rsid w:val="32105DE8"/>
    <w:rsid w:val="32286907"/>
    <w:rsid w:val="322E2721"/>
    <w:rsid w:val="322E3DE8"/>
    <w:rsid w:val="3235187E"/>
    <w:rsid w:val="3237186B"/>
    <w:rsid w:val="323B6798"/>
    <w:rsid w:val="32435C91"/>
    <w:rsid w:val="32537B57"/>
    <w:rsid w:val="325779E7"/>
    <w:rsid w:val="325F618E"/>
    <w:rsid w:val="32757E99"/>
    <w:rsid w:val="327D43E5"/>
    <w:rsid w:val="32842CF3"/>
    <w:rsid w:val="328F2182"/>
    <w:rsid w:val="328F5534"/>
    <w:rsid w:val="329A6217"/>
    <w:rsid w:val="329A6ACE"/>
    <w:rsid w:val="329C2950"/>
    <w:rsid w:val="32A145CA"/>
    <w:rsid w:val="32A230DB"/>
    <w:rsid w:val="32B52836"/>
    <w:rsid w:val="32C16E3E"/>
    <w:rsid w:val="32C64505"/>
    <w:rsid w:val="32DF351E"/>
    <w:rsid w:val="32EE5E41"/>
    <w:rsid w:val="32F1510B"/>
    <w:rsid w:val="32F40F87"/>
    <w:rsid w:val="32F520B9"/>
    <w:rsid w:val="32F879A5"/>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E52BFA"/>
    <w:rsid w:val="33FE62E7"/>
    <w:rsid w:val="33FF7B8B"/>
    <w:rsid w:val="34080399"/>
    <w:rsid w:val="340D25F6"/>
    <w:rsid w:val="34161D6C"/>
    <w:rsid w:val="341E19AD"/>
    <w:rsid w:val="34221EAF"/>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57EF7"/>
    <w:rsid w:val="352821F6"/>
    <w:rsid w:val="3533698A"/>
    <w:rsid w:val="35387F19"/>
    <w:rsid w:val="3539550B"/>
    <w:rsid w:val="354319AA"/>
    <w:rsid w:val="354D5E0E"/>
    <w:rsid w:val="355D10E3"/>
    <w:rsid w:val="356150BC"/>
    <w:rsid w:val="356678B4"/>
    <w:rsid w:val="3573649F"/>
    <w:rsid w:val="35774602"/>
    <w:rsid w:val="357E4B0A"/>
    <w:rsid w:val="35866D7F"/>
    <w:rsid w:val="358E1E8F"/>
    <w:rsid w:val="358F6BDF"/>
    <w:rsid w:val="35917C0B"/>
    <w:rsid w:val="359371C8"/>
    <w:rsid w:val="35A26AC9"/>
    <w:rsid w:val="35A440D7"/>
    <w:rsid w:val="35C06D50"/>
    <w:rsid w:val="35CD6F14"/>
    <w:rsid w:val="35D24294"/>
    <w:rsid w:val="35D71152"/>
    <w:rsid w:val="35F629BD"/>
    <w:rsid w:val="35F96008"/>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25B4"/>
    <w:rsid w:val="368230C6"/>
    <w:rsid w:val="36843A03"/>
    <w:rsid w:val="368C605B"/>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B60F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326676"/>
    <w:rsid w:val="39440601"/>
    <w:rsid w:val="39457B13"/>
    <w:rsid w:val="394B6470"/>
    <w:rsid w:val="395C6EA8"/>
    <w:rsid w:val="39841325"/>
    <w:rsid w:val="39872512"/>
    <w:rsid w:val="39A602F9"/>
    <w:rsid w:val="39BD45C8"/>
    <w:rsid w:val="39C0619E"/>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317CA"/>
    <w:rsid w:val="3B552653"/>
    <w:rsid w:val="3B5A2A22"/>
    <w:rsid w:val="3B707794"/>
    <w:rsid w:val="3B7804A3"/>
    <w:rsid w:val="3B796B5F"/>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53F71"/>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8D5DCB"/>
    <w:rsid w:val="3D94235D"/>
    <w:rsid w:val="3D9461E1"/>
    <w:rsid w:val="3DAF37B0"/>
    <w:rsid w:val="3DB34E86"/>
    <w:rsid w:val="3DB36BC6"/>
    <w:rsid w:val="3DB80A86"/>
    <w:rsid w:val="3DBE6A34"/>
    <w:rsid w:val="3DC00481"/>
    <w:rsid w:val="3DDA3E19"/>
    <w:rsid w:val="3DED0F96"/>
    <w:rsid w:val="3DF130D5"/>
    <w:rsid w:val="3DF95812"/>
    <w:rsid w:val="3DFC0C8E"/>
    <w:rsid w:val="3E0040D9"/>
    <w:rsid w:val="3E1328D6"/>
    <w:rsid w:val="3E162CA6"/>
    <w:rsid w:val="3E1B7668"/>
    <w:rsid w:val="3E1C6544"/>
    <w:rsid w:val="3E1D4B24"/>
    <w:rsid w:val="3E2A7B0A"/>
    <w:rsid w:val="3E314520"/>
    <w:rsid w:val="3E3A04FA"/>
    <w:rsid w:val="3E3D6B96"/>
    <w:rsid w:val="3E3F202E"/>
    <w:rsid w:val="3E441C7D"/>
    <w:rsid w:val="3E490256"/>
    <w:rsid w:val="3E4C2EC5"/>
    <w:rsid w:val="3E55739E"/>
    <w:rsid w:val="3E6C43C8"/>
    <w:rsid w:val="3E77468B"/>
    <w:rsid w:val="3E8227F0"/>
    <w:rsid w:val="3E937F82"/>
    <w:rsid w:val="3E9726BC"/>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75AD6"/>
    <w:rsid w:val="3FBA1D11"/>
    <w:rsid w:val="3FC36557"/>
    <w:rsid w:val="3FC84868"/>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8D6122"/>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B06152"/>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BD260B"/>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3C0A93"/>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4F416F5"/>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152FE"/>
    <w:rsid w:val="45C661BC"/>
    <w:rsid w:val="45CA082F"/>
    <w:rsid w:val="45CD2126"/>
    <w:rsid w:val="45CF358A"/>
    <w:rsid w:val="45DD738A"/>
    <w:rsid w:val="45E372CD"/>
    <w:rsid w:val="45FB2D6A"/>
    <w:rsid w:val="460675A7"/>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A0BD9"/>
    <w:rsid w:val="478D3694"/>
    <w:rsid w:val="479128A9"/>
    <w:rsid w:val="47956820"/>
    <w:rsid w:val="47975EDC"/>
    <w:rsid w:val="47983B19"/>
    <w:rsid w:val="479D1DB0"/>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0075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CF5E84"/>
    <w:rsid w:val="48D429DD"/>
    <w:rsid w:val="48E01C77"/>
    <w:rsid w:val="48E22285"/>
    <w:rsid w:val="48E50D90"/>
    <w:rsid w:val="48EB0B49"/>
    <w:rsid w:val="48EB0D16"/>
    <w:rsid w:val="48FA15CC"/>
    <w:rsid w:val="48FF0DD1"/>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1A2EA4"/>
    <w:rsid w:val="4A255046"/>
    <w:rsid w:val="4A2A2AD0"/>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0852D7"/>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056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B923F3"/>
    <w:rsid w:val="4ECD2AFD"/>
    <w:rsid w:val="4EDB58B2"/>
    <w:rsid w:val="4EE925CE"/>
    <w:rsid w:val="4EEB1A94"/>
    <w:rsid w:val="4EEF2E30"/>
    <w:rsid w:val="4EF24828"/>
    <w:rsid w:val="4EFE7F59"/>
    <w:rsid w:val="4F0557AF"/>
    <w:rsid w:val="4F285975"/>
    <w:rsid w:val="4F2A1A96"/>
    <w:rsid w:val="4F2A7BF3"/>
    <w:rsid w:val="4F2E2624"/>
    <w:rsid w:val="4F324168"/>
    <w:rsid w:val="4F396A5A"/>
    <w:rsid w:val="4F4E1077"/>
    <w:rsid w:val="4F546156"/>
    <w:rsid w:val="4F5B6F39"/>
    <w:rsid w:val="4F621F24"/>
    <w:rsid w:val="4F64780B"/>
    <w:rsid w:val="4F844A99"/>
    <w:rsid w:val="4F94662C"/>
    <w:rsid w:val="4FAB774E"/>
    <w:rsid w:val="4FB00163"/>
    <w:rsid w:val="4FB208E7"/>
    <w:rsid w:val="4FB47CBB"/>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52FB2"/>
    <w:rsid w:val="50BB6306"/>
    <w:rsid w:val="50C12EDC"/>
    <w:rsid w:val="50CD2E4B"/>
    <w:rsid w:val="50D8533B"/>
    <w:rsid w:val="50DA0A9E"/>
    <w:rsid w:val="50E11109"/>
    <w:rsid w:val="50ED21B8"/>
    <w:rsid w:val="50F31CB9"/>
    <w:rsid w:val="50F66F3D"/>
    <w:rsid w:val="50F8688B"/>
    <w:rsid w:val="50FC4E36"/>
    <w:rsid w:val="51002FFC"/>
    <w:rsid w:val="5105169B"/>
    <w:rsid w:val="51062881"/>
    <w:rsid w:val="510861B3"/>
    <w:rsid w:val="510956BD"/>
    <w:rsid w:val="5114696C"/>
    <w:rsid w:val="5121766A"/>
    <w:rsid w:val="51230220"/>
    <w:rsid w:val="51322F5E"/>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51A7E"/>
    <w:rsid w:val="523E09B5"/>
    <w:rsid w:val="524053B4"/>
    <w:rsid w:val="52431715"/>
    <w:rsid w:val="52687B2A"/>
    <w:rsid w:val="526E0E82"/>
    <w:rsid w:val="527901C6"/>
    <w:rsid w:val="528241AF"/>
    <w:rsid w:val="52831D64"/>
    <w:rsid w:val="528F4A24"/>
    <w:rsid w:val="52944BB6"/>
    <w:rsid w:val="529C012B"/>
    <w:rsid w:val="52A24532"/>
    <w:rsid w:val="52A611A1"/>
    <w:rsid w:val="52A72906"/>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1F7431"/>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3F3C4F"/>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4FE31BD"/>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4BEB"/>
    <w:rsid w:val="56A55214"/>
    <w:rsid w:val="56A67978"/>
    <w:rsid w:val="56A76AA3"/>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2A4818"/>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015D8"/>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CF6340"/>
    <w:rsid w:val="59E85675"/>
    <w:rsid w:val="59E9525B"/>
    <w:rsid w:val="59F70BAF"/>
    <w:rsid w:val="5A0627A6"/>
    <w:rsid w:val="5A297D0D"/>
    <w:rsid w:val="5A31589A"/>
    <w:rsid w:val="5A3C0F08"/>
    <w:rsid w:val="5A3E5B83"/>
    <w:rsid w:val="5A50588C"/>
    <w:rsid w:val="5A5663A3"/>
    <w:rsid w:val="5A5706C7"/>
    <w:rsid w:val="5A571746"/>
    <w:rsid w:val="5A594793"/>
    <w:rsid w:val="5A5B6E89"/>
    <w:rsid w:val="5A6253E3"/>
    <w:rsid w:val="5A641DE9"/>
    <w:rsid w:val="5A687FE8"/>
    <w:rsid w:val="5A746DF6"/>
    <w:rsid w:val="5A8E6670"/>
    <w:rsid w:val="5A912613"/>
    <w:rsid w:val="5A9245E9"/>
    <w:rsid w:val="5A953D41"/>
    <w:rsid w:val="5AA12940"/>
    <w:rsid w:val="5AA75D85"/>
    <w:rsid w:val="5AB422AB"/>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04310"/>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138F7"/>
    <w:rsid w:val="5C37782E"/>
    <w:rsid w:val="5C3B6CFC"/>
    <w:rsid w:val="5C4735D5"/>
    <w:rsid w:val="5C4C2CF4"/>
    <w:rsid w:val="5C5E6BCC"/>
    <w:rsid w:val="5C6B1600"/>
    <w:rsid w:val="5C6E26BF"/>
    <w:rsid w:val="5C706511"/>
    <w:rsid w:val="5C7255FC"/>
    <w:rsid w:val="5C7D70D1"/>
    <w:rsid w:val="5C8542A8"/>
    <w:rsid w:val="5C8A64E1"/>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A5A4E"/>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75745"/>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9C615A"/>
    <w:rsid w:val="5EA75DFF"/>
    <w:rsid w:val="5EB51FDE"/>
    <w:rsid w:val="5EBA4472"/>
    <w:rsid w:val="5EC3227D"/>
    <w:rsid w:val="5EC504C9"/>
    <w:rsid w:val="5EC93320"/>
    <w:rsid w:val="5ECA3D37"/>
    <w:rsid w:val="5EE153F8"/>
    <w:rsid w:val="5EE836CB"/>
    <w:rsid w:val="5EEA322F"/>
    <w:rsid w:val="5EEC3D5B"/>
    <w:rsid w:val="5EED7893"/>
    <w:rsid w:val="5EF368BE"/>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06848"/>
    <w:rsid w:val="5FF37587"/>
    <w:rsid w:val="5FF85D1E"/>
    <w:rsid w:val="5FFE57B7"/>
    <w:rsid w:val="60060CD5"/>
    <w:rsid w:val="60085AA3"/>
    <w:rsid w:val="600E362B"/>
    <w:rsid w:val="60183392"/>
    <w:rsid w:val="601A4CB1"/>
    <w:rsid w:val="601B56CB"/>
    <w:rsid w:val="60237FFC"/>
    <w:rsid w:val="602C236D"/>
    <w:rsid w:val="6030460F"/>
    <w:rsid w:val="603114E4"/>
    <w:rsid w:val="603967D7"/>
    <w:rsid w:val="603D3325"/>
    <w:rsid w:val="604040A8"/>
    <w:rsid w:val="60470CE3"/>
    <w:rsid w:val="604775D7"/>
    <w:rsid w:val="60485D19"/>
    <w:rsid w:val="604D29BA"/>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2E2025"/>
    <w:rsid w:val="62344A89"/>
    <w:rsid w:val="624263A2"/>
    <w:rsid w:val="625272C3"/>
    <w:rsid w:val="6254750A"/>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0233"/>
    <w:rsid w:val="63B82D87"/>
    <w:rsid w:val="63BA3154"/>
    <w:rsid w:val="63C509F9"/>
    <w:rsid w:val="63CA2E8B"/>
    <w:rsid w:val="63CF097D"/>
    <w:rsid w:val="63D4153E"/>
    <w:rsid w:val="63DA0FA3"/>
    <w:rsid w:val="63DC7755"/>
    <w:rsid w:val="63E43D21"/>
    <w:rsid w:val="63E774B3"/>
    <w:rsid w:val="63F41BBB"/>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9D1D31"/>
    <w:rsid w:val="64A70E62"/>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60728"/>
    <w:rsid w:val="654835A8"/>
    <w:rsid w:val="654C7056"/>
    <w:rsid w:val="65514C2C"/>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430BA"/>
    <w:rsid w:val="65F5655C"/>
    <w:rsid w:val="65F64F18"/>
    <w:rsid w:val="65FF118E"/>
    <w:rsid w:val="66052F43"/>
    <w:rsid w:val="66065483"/>
    <w:rsid w:val="6609487E"/>
    <w:rsid w:val="661D25CE"/>
    <w:rsid w:val="66206CF2"/>
    <w:rsid w:val="66265846"/>
    <w:rsid w:val="66287C9C"/>
    <w:rsid w:val="662E4097"/>
    <w:rsid w:val="663A5B0B"/>
    <w:rsid w:val="664805B8"/>
    <w:rsid w:val="665572E9"/>
    <w:rsid w:val="665B14BD"/>
    <w:rsid w:val="665B55EA"/>
    <w:rsid w:val="66600F11"/>
    <w:rsid w:val="66641D58"/>
    <w:rsid w:val="66655F85"/>
    <w:rsid w:val="667C7AEC"/>
    <w:rsid w:val="667F71BA"/>
    <w:rsid w:val="66811792"/>
    <w:rsid w:val="66863A0F"/>
    <w:rsid w:val="66984358"/>
    <w:rsid w:val="669B7C76"/>
    <w:rsid w:val="66A200F8"/>
    <w:rsid w:val="66A205F5"/>
    <w:rsid w:val="66A30EC2"/>
    <w:rsid w:val="66AA4BA8"/>
    <w:rsid w:val="66AC5E7E"/>
    <w:rsid w:val="66B51E22"/>
    <w:rsid w:val="66C00300"/>
    <w:rsid w:val="66C56058"/>
    <w:rsid w:val="66C955BD"/>
    <w:rsid w:val="66CF3182"/>
    <w:rsid w:val="66D60CC4"/>
    <w:rsid w:val="66D97420"/>
    <w:rsid w:val="66DC317D"/>
    <w:rsid w:val="66DD5461"/>
    <w:rsid w:val="66E10E78"/>
    <w:rsid w:val="66E617C5"/>
    <w:rsid w:val="66E910C9"/>
    <w:rsid w:val="670C6D27"/>
    <w:rsid w:val="670D67CE"/>
    <w:rsid w:val="67105BAB"/>
    <w:rsid w:val="67150D42"/>
    <w:rsid w:val="671B1631"/>
    <w:rsid w:val="672C45D9"/>
    <w:rsid w:val="67302DC3"/>
    <w:rsid w:val="67316C6B"/>
    <w:rsid w:val="6734198F"/>
    <w:rsid w:val="674318B2"/>
    <w:rsid w:val="674D4B22"/>
    <w:rsid w:val="67570422"/>
    <w:rsid w:val="675D31B4"/>
    <w:rsid w:val="67611575"/>
    <w:rsid w:val="676D2F4B"/>
    <w:rsid w:val="676E7C74"/>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12405"/>
    <w:rsid w:val="69796AD5"/>
    <w:rsid w:val="69850877"/>
    <w:rsid w:val="698C13C5"/>
    <w:rsid w:val="69C12919"/>
    <w:rsid w:val="69D737C7"/>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01B8D"/>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6F79AA"/>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78194F"/>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E1D98"/>
    <w:rsid w:val="6DED1766"/>
    <w:rsid w:val="6DF43BD4"/>
    <w:rsid w:val="6E0E1FAB"/>
    <w:rsid w:val="6E2143FB"/>
    <w:rsid w:val="6E295363"/>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D667E"/>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C2C41"/>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6146F"/>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30CDF"/>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7206C1"/>
    <w:rsid w:val="71867894"/>
    <w:rsid w:val="718E3AA9"/>
    <w:rsid w:val="71920F6D"/>
    <w:rsid w:val="7196106A"/>
    <w:rsid w:val="719E0160"/>
    <w:rsid w:val="719F7A78"/>
    <w:rsid w:val="71A03079"/>
    <w:rsid w:val="71AD22C0"/>
    <w:rsid w:val="71B623F6"/>
    <w:rsid w:val="71B84778"/>
    <w:rsid w:val="71C17B7E"/>
    <w:rsid w:val="71C7540C"/>
    <w:rsid w:val="71DA3F10"/>
    <w:rsid w:val="71E857A5"/>
    <w:rsid w:val="71F64A63"/>
    <w:rsid w:val="71F870B8"/>
    <w:rsid w:val="71F9130C"/>
    <w:rsid w:val="72021233"/>
    <w:rsid w:val="720B2A1D"/>
    <w:rsid w:val="72197AB8"/>
    <w:rsid w:val="721B4039"/>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593F50"/>
    <w:rsid w:val="7363274A"/>
    <w:rsid w:val="73691A4A"/>
    <w:rsid w:val="7371152B"/>
    <w:rsid w:val="73777B4D"/>
    <w:rsid w:val="737920CD"/>
    <w:rsid w:val="738A6895"/>
    <w:rsid w:val="738D1AFA"/>
    <w:rsid w:val="73917325"/>
    <w:rsid w:val="7395427D"/>
    <w:rsid w:val="73AE5485"/>
    <w:rsid w:val="73B1087F"/>
    <w:rsid w:val="73BC7089"/>
    <w:rsid w:val="73BE7067"/>
    <w:rsid w:val="73C63508"/>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10121"/>
    <w:rsid w:val="74543139"/>
    <w:rsid w:val="74672BF8"/>
    <w:rsid w:val="746B732F"/>
    <w:rsid w:val="746E18CB"/>
    <w:rsid w:val="746F3904"/>
    <w:rsid w:val="748D52FA"/>
    <w:rsid w:val="74993216"/>
    <w:rsid w:val="74A25132"/>
    <w:rsid w:val="74B44784"/>
    <w:rsid w:val="74B808BF"/>
    <w:rsid w:val="74C03187"/>
    <w:rsid w:val="74D033D9"/>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35C72"/>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DD6A27"/>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17A4D"/>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B82F2E"/>
    <w:rsid w:val="79C07B43"/>
    <w:rsid w:val="79C832AC"/>
    <w:rsid w:val="79C97A92"/>
    <w:rsid w:val="79D33056"/>
    <w:rsid w:val="79D715DF"/>
    <w:rsid w:val="79D85AB0"/>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B4CB6"/>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62E01"/>
    <w:rsid w:val="7BEC2711"/>
    <w:rsid w:val="7BF55850"/>
    <w:rsid w:val="7BF62E8D"/>
    <w:rsid w:val="7C0D7046"/>
    <w:rsid w:val="7C1054B7"/>
    <w:rsid w:val="7C131E53"/>
    <w:rsid w:val="7C261982"/>
    <w:rsid w:val="7C26369C"/>
    <w:rsid w:val="7C2A465C"/>
    <w:rsid w:val="7C2E06D8"/>
    <w:rsid w:val="7C305879"/>
    <w:rsid w:val="7C3420DA"/>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76E03"/>
    <w:rsid w:val="7CDE3831"/>
    <w:rsid w:val="7CE05980"/>
    <w:rsid w:val="7CE656F0"/>
    <w:rsid w:val="7CED34FF"/>
    <w:rsid w:val="7CEE5458"/>
    <w:rsid w:val="7CF26588"/>
    <w:rsid w:val="7CF565D7"/>
    <w:rsid w:val="7CF7605D"/>
    <w:rsid w:val="7CF867A7"/>
    <w:rsid w:val="7CFA3A46"/>
    <w:rsid w:val="7CFC78A1"/>
    <w:rsid w:val="7D0F5720"/>
    <w:rsid w:val="7D1132E3"/>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BB131F"/>
    <w:rsid w:val="7DCD1A27"/>
    <w:rsid w:val="7DCD4EB5"/>
    <w:rsid w:val="7DDF20BC"/>
    <w:rsid w:val="7DE07962"/>
    <w:rsid w:val="7DE34955"/>
    <w:rsid w:val="7DEF277B"/>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7288F"/>
    <w:rsid w:val="7E7D055C"/>
    <w:rsid w:val="7E8104AE"/>
    <w:rsid w:val="7E85174A"/>
    <w:rsid w:val="7E8B68B9"/>
    <w:rsid w:val="7EA77314"/>
    <w:rsid w:val="7EAA7C26"/>
    <w:rsid w:val="7EAF1FAA"/>
    <w:rsid w:val="7EB13B0C"/>
    <w:rsid w:val="7EB4653A"/>
    <w:rsid w:val="7EBD44C4"/>
    <w:rsid w:val="7EC478B9"/>
    <w:rsid w:val="7ECA4601"/>
    <w:rsid w:val="7ECA61AD"/>
    <w:rsid w:val="7ECE7C95"/>
    <w:rsid w:val="7EDC22AD"/>
    <w:rsid w:val="7EDE4C34"/>
    <w:rsid w:val="7EE34086"/>
    <w:rsid w:val="7EE55F89"/>
    <w:rsid w:val="7EEB5719"/>
    <w:rsid w:val="7EF215E8"/>
    <w:rsid w:val="7EF525E1"/>
    <w:rsid w:val="7EF74FC9"/>
    <w:rsid w:val="7EFD041E"/>
    <w:rsid w:val="7F000B6A"/>
    <w:rsid w:val="7F0178C5"/>
    <w:rsid w:val="7F022EBD"/>
    <w:rsid w:val="7F023C17"/>
    <w:rsid w:val="7F033852"/>
    <w:rsid w:val="7F0B5962"/>
    <w:rsid w:val="7F0C2035"/>
    <w:rsid w:val="7F0F0FAF"/>
    <w:rsid w:val="7F0F7992"/>
    <w:rsid w:val="7F1B0865"/>
    <w:rsid w:val="7F271AA3"/>
    <w:rsid w:val="7F311BC5"/>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8E2469"/>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8</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2025-05-09T07:20:59Z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7FC60AB734954F8EA8FF3592F624D33C</vt:lpwstr>
  </property>
</Properties>
</file>